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9D37C" w14:textId="2613B9F9" w:rsidR="004A0A7F" w:rsidRPr="00204651" w:rsidRDefault="004A0A7F" w:rsidP="00DE4C62">
      <w:pPr>
        <w:shd w:val="clear" w:color="auto" w:fill="FFFFFF"/>
        <w:spacing w:after="0" w:line="276" w:lineRule="auto"/>
        <w:jc w:val="center"/>
        <w:outlineLvl w:val="0"/>
        <w:rPr>
          <w:rFonts w:eastAsia="Times New Roman" w:cstheme="minorHAnsi"/>
          <w:b/>
          <w:bCs/>
          <w:kern w:val="36"/>
          <w:sz w:val="28"/>
          <w:szCs w:val="28"/>
          <w:lang w:eastAsia="it-IT"/>
        </w:rPr>
      </w:pPr>
      <w:r w:rsidRPr="00204651">
        <w:rPr>
          <w:rFonts w:eastAsia="Times New Roman" w:cstheme="minorHAnsi"/>
          <w:b/>
          <w:bCs/>
          <w:kern w:val="36"/>
          <w:sz w:val="28"/>
          <w:szCs w:val="28"/>
          <w:lang w:eastAsia="it-IT"/>
        </w:rPr>
        <w:t>Telefonia Mobile</w:t>
      </w:r>
      <w:r w:rsidR="00A53528" w:rsidRPr="00204651">
        <w:rPr>
          <w:rFonts w:eastAsia="Times New Roman" w:cstheme="minorHAnsi"/>
          <w:b/>
          <w:bCs/>
          <w:kern w:val="36"/>
          <w:sz w:val="28"/>
          <w:szCs w:val="28"/>
          <w:lang w:eastAsia="it-IT"/>
        </w:rPr>
        <w:t xml:space="preserve"> – Convenzione Consip 9</w:t>
      </w:r>
    </w:p>
    <w:p w14:paraId="6AAA37C3" w14:textId="3D579599" w:rsidR="00A53528" w:rsidRPr="00204651" w:rsidRDefault="00A53528" w:rsidP="00DE4C62">
      <w:pPr>
        <w:shd w:val="clear" w:color="auto" w:fill="FFFFFF"/>
        <w:spacing w:after="0" w:line="276" w:lineRule="auto"/>
        <w:jc w:val="center"/>
        <w:outlineLvl w:val="0"/>
        <w:rPr>
          <w:rFonts w:eastAsia="Times New Roman" w:cstheme="minorHAnsi"/>
          <w:b/>
          <w:bCs/>
          <w:kern w:val="36"/>
          <w:sz w:val="28"/>
          <w:szCs w:val="28"/>
          <w:lang w:eastAsia="it-IT"/>
        </w:rPr>
      </w:pPr>
      <w:r w:rsidRPr="00204651">
        <w:rPr>
          <w:rFonts w:eastAsia="Times New Roman" w:cstheme="minorHAnsi"/>
          <w:b/>
          <w:bCs/>
          <w:kern w:val="36"/>
          <w:sz w:val="28"/>
          <w:szCs w:val="28"/>
          <w:lang w:eastAsia="it-IT"/>
        </w:rPr>
        <w:t xml:space="preserve">Operatore mobile Vodafone </w:t>
      </w:r>
    </w:p>
    <w:p w14:paraId="49365F3E" w14:textId="77777777" w:rsidR="004A0A7F" w:rsidRPr="005A22F8" w:rsidRDefault="004A0A7F" w:rsidP="005A22F8">
      <w:pPr>
        <w:shd w:val="clear" w:color="auto" w:fill="FFFFFF"/>
        <w:spacing w:after="0" w:line="276" w:lineRule="auto"/>
        <w:jc w:val="both"/>
        <w:rPr>
          <w:rFonts w:eastAsia="Times New Roman" w:cstheme="minorHAnsi"/>
          <w:color w:val="333333"/>
          <w:sz w:val="24"/>
          <w:szCs w:val="24"/>
          <w:lang w:eastAsia="it-IT"/>
        </w:rPr>
      </w:pPr>
    </w:p>
    <w:p w14:paraId="5F0D2D4E" w14:textId="77777777" w:rsidR="004A0A7F" w:rsidRPr="005A22F8" w:rsidRDefault="004A0A7F" w:rsidP="005A22F8">
      <w:pPr>
        <w:shd w:val="clear" w:color="auto" w:fill="FFFFFF"/>
        <w:spacing w:after="0" w:line="276" w:lineRule="auto"/>
        <w:jc w:val="both"/>
        <w:rPr>
          <w:rFonts w:eastAsia="Times New Roman" w:cstheme="minorHAnsi"/>
          <w:color w:val="333333"/>
          <w:sz w:val="20"/>
          <w:szCs w:val="20"/>
          <w:lang w:eastAsia="it-IT"/>
        </w:rPr>
      </w:pPr>
      <w:r w:rsidRPr="005A22F8">
        <w:rPr>
          <w:rFonts w:eastAsia="Times New Roman" w:cstheme="minorHAnsi"/>
          <w:color w:val="333333"/>
          <w:sz w:val="20"/>
          <w:szCs w:val="20"/>
          <w:lang w:eastAsia="it-IT"/>
        </w:rPr>
        <w:t>Il telefono cellulare di servizio e gli strumenti per la connettività IP da rete pubblica mobile e fissa sono strumenti di lavoro di proprietà della Fondazione Bruno Kessler.</w:t>
      </w:r>
    </w:p>
    <w:p w14:paraId="52DB4FD0" w14:textId="08075D7C" w:rsidR="004A0A7F" w:rsidRPr="005A22F8" w:rsidRDefault="004A0A7F" w:rsidP="005A22F8">
      <w:pPr>
        <w:shd w:val="clear" w:color="auto" w:fill="FFFFFF"/>
        <w:spacing w:after="0" w:line="276" w:lineRule="auto"/>
        <w:jc w:val="both"/>
        <w:rPr>
          <w:rFonts w:eastAsia="Times New Roman" w:cstheme="minorHAnsi"/>
          <w:sz w:val="20"/>
          <w:szCs w:val="20"/>
          <w:lang w:eastAsia="it-IT"/>
        </w:rPr>
      </w:pPr>
      <w:r w:rsidRPr="005A22F8">
        <w:rPr>
          <w:rFonts w:eastAsia="Times New Roman" w:cstheme="minorHAnsi"/>
          <w:color w:val="333333"/>
          <w:sz w:val="20"/>
          <w:szCs w:val="20"/>
          <w:lang w:eastAsia="it-IT"/>
        </w:rPr>
        <w:t xml:space="preserve">La loro assegnazione e </w:t>
      </w:r>
      <w:r w:rsidR="000B6C19" w:rsidRPr="005A22F8">
        <w:rPr>
          <w:rFonts w:eastAsia="Times New Roman" w:cstheme="minorHAnsi"/>
          <w:color w:val="333333"/>
          <w:sz w:val="20"/>
          <w:szCs w:val="20"/>
          <w:lang w:eastAsia="it-IT"/>
        </w:rPr>
        <w:t xml:space="preserve">il </w:t>
      </w:r>
      <w:r w:rsidRPr="005A22F8">
        <w:rPr>
          <w:rFonts w:eastAsia="Times New Roman" w:cstheme="minorHAnsi"/>
          <w:color w:val="333333"/>
          <w:sz w:val="20"/>
          <w:szCs w:val="20"/>
          <w:lang w:eastAsia="it-IT"/>
        </w:rPr>
        <w:t xml:space="preserve">corretto utilizzo </w:t>
      </w:r>
      <w:r w:rsidR="000B6C19" w:rsidRPr="005A22F8">
        <w:rPr>
          <w:rFonts w:eastAsia="Times New Roman" w:cstheme="minorHAnsi"/>
          <w:color w:val="333333"/>
          <w:sz w:val="20"/>
          <w:szCs w:val="20"/>
          <w:lang w:eastAsia="it-IT"/>
        </w:rPr>
        <w:t xml:space="preserve">è disciplinato </w:t>
      </w:r>
      <w:r w:rsidRPr="005A22F8">
        <w:rPr>
          <w:rFonts w:eastAsia="Times New Roman" w:cstheme="minorHAnsi"/>
          <w:color w:val="333333"/>
          <w:sz w:val="20"/>
          <w:szCs w:val="20"/>
          <w:lang w:eastAsia="it-IT"/>
        </w:rPr>
        <w:t xml:space="preserve">dal regolamento disponibile a </w:t>
      </w:r>
      <w:hyperlink r:id="rId5" w:history="1">
        <w:r w:rsidRPr="005A22F8">
          <w:rPr>
            <w:rStyle w:val="Collegamentoipertestuale"/>
            <w:rFonts w:eastAsia="Times New Roman" w:cstheme="minorHAnsi"/>
            <w:sz w:val="20"/>
            <w:szCs w:val="20"/>
            <w:lang w:eastAsia="it-IT"/>
          </w:rPr>
          <w:t>https://trasparenza.fbk.eu/content/view/full/57681</w:t>
        </w:r>
      </w:hyperlink>
      <w:r w:rsidRPr="005A22F8">
        <w:rPr>
          <w:rFonts w:eastAsia="Times New Roman" w:cstheme="minorHAnsi"/>
          <w:sz w:val="20"/>
          <w:szCs w:val="20"/>
          <w:lang w:eastAsia="it-IT"/>
        </w:rPr>
        <w:t>.</w:t>
      </w:r>
    </w:p>
    <w:p w14:paraId="06917590" w14:textId="77777777" w:rsidR="00DE4C62" w:rsidRPr="005A22F8" w:rsidRDefault="00DE4C62" w:rsidP="005A22F8">
      <w:pPr>
        <w:shd w:val="clear" w:color="auto" w:fill="FFFFFF"/>
        <w:spacing w:after="0" w:line="276" w:lineRule="auto"/>
        <w:jc w:val="both"/>
        <w:rPr>
          <w:rFonts w:eastAsia="Times New Roman" w:cstheme="minorHAnsi"/>
          <w:sz w:val="20"/>
          <w:szCs w:val="20"/>
          <w:lang w:eastAsia="it-IT"/>
        </w:rPr>
      </w:pPr>
    </w:p>
    <w:p w14:paraId="3B01940D" w14:textId="7DEA0607" w:rsidR="004A0A7F" w:rsidRPr="005A22F8" w:rsidRDefault="00DE4C62" w:rsidP="005A22F8">
      <w:p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b/>
          <w:i/>
          <w:sz w:val="20"/>
          <w:szCs w:val="20"/>
          <w:u w:val="single"/>
          <w:lang w:eastAsia="it-IT"/>
        </w:rPr>
        <w:t xml:space="preserve">UTILIZZO DELLA LINEA MOBILE NEGLI STATI </w:t>
      </w:r>
      <w:r w:rsidR="00A53528" w:rsidRPr="005A22F8">
        <w:rPr>
          <w:rFonts w:eastAsia="Times New Roman" w:cstheme="minorHAnsi"/>
          <w:b/>
          <w:i/>
          <w:sz w:val="20"/>
          <w:szCs w:val="20"/>
          <w:u w:val="single"/>
          <w:lang w:eastAsia="it-IT"/>
        </w:rPr>
        <w:t>DELLO SPAZIO ECONOMICO EUROPEO (SEE)</w:t>
      </w:r>
      <w:r w:rsidR="000B6C19" w:rsidRPr="005A22F8">
        <w:rPr>
          <w:rFonts w:eastAsia="Times New Roman" w:cstheme="minorHAnsi"/>
          <w:b/>
          <w:i/>
          <w:sz w:val="20"/>
          <w:szCs w:val="20"/>
          <w:u w:val="single"/>
          <w:lang w:eastAsia="it-IT"/>
        </w:rPr>
        <w:t xml:space="preserve"> + SVIZZERA E UK</w:t>
      </w:r>
      <w:r w:rsidRPr="005A22F8">
        <w:rPr>
          <w:rFonts w:eastAsia="Times New Roman" w:cstheme="minorHAnsi"/>
          <w:b/>
          <w:i/>
          <w:sz w:val="20"/>
          <w:szCs w:val="20"/>
          <w:u w:val="single"/>
          <w:lang w:eastAsia="it-IT"/>
        </w:rPr>
        <w:t xml:space="preserve">: </w:t>
      </w:r>
      <w:r w:rsidR="004A0A7F" w:rsidRPr="005A22F8">
        <w:rPr>
          <w:rFonts w:eastAsia="Times New Roman" w:cstheme="minorHAnsi"/>
          <w:sz w:val="20"/>
          <w:szCs w:val="20"/>
          <w:lang w:eastAsia="it-IT"/>
        </w:rPr>
        <w:t xml:space="preserve"> </w:t>
      </w:r>
    </w:p>
    <w:p w14:paraId="4FF445A0" w14:textId="77777777" w:rsidR="00DE4C62" w:rsidRPr="005A22F8" w:rsidRDefault="00DE4C62" w:rsidP="005A22F8">
      <w:pPr>
        <w:shd w:val="clear" w:color="auto" w:fill="FFFFFF"/>
        <w:spacing w:after="0" w:line="276" w:lineRule="auto"/>
        <w:jc w:val="both"/>
        <w:rPr>
          <w:rFonts w:eastAsia="Times New Roman" w:cstheme="minorHAnsi"/>
          <w:sz w:val="20"/>
          <w:szCs w:val="20"/>
          <w:lang w:eastAsia="it-IT"/>
        </w:rPr>
      </w:pPr>
    </w:p>
    <w:p w14:paraId="4699809A" w14:textId="31619233" w:rsidR="004A0A7F" w:rsidRPr="005A22F8" w:rsidRDefault="004A0A7F" w:rsidP="005A22F8">
      <w:pPr>
        <w:shd w:val="clear" w:color="auto" w:fill="FFFFFF"/>
        <w:spacing w:after="0" w:line="276" w:lineRule="auto"/>
        <w:jc w:val="both"/>
        <w:rPr>
          <w:rFonts w:eastAsia="Times New Roman" w:cstheme="minorHAnsi"/>
          <w:color w:val="333333"/>
          <w:sz w:val="20"/>
          <w:szCs w:val="20"/>
          <w:lang w:eastAsia="it-IT"/>
        </w:rPr>
      </w:pPr>
      <w:r w:rsidRPr="005A22F8">
        <w:rPr>
          <w:rFonts w:eastAsia="Times New Roman" w:cstheme="minorHAnsi"/>
          <w:color w:val="333333"/>
          <w:sz w:val="20"/>
          <w:szCs w:val="20"/>
          <w:lang w:eastAsia="it-IT"/>
        </w:rPr>
        <w:t xml:space="preserve">Di default sulle SIM della Fondazione </w:t>
      </w:r>
      <w:r w:rsidR="005A22F8">
        <w:rPr>
          <w:rFonts w:eastAsia="Times New Roman" w:cstheme="minorHAnsi"/>
          <w:color w:val="333333"/>
          <w:sz w:val="20"/>
          <w:szCs w:val="20"/>
          <w:lang w:eastAsia="it-IT"/>
        </w:rPr>
        <w:t>è</w:t>
      </w:r>
      <w:r w:rsidRPr="005A22F8">
        <w:rPr>
          <w:rFonts w:eastAsia="Times New Roman" w:cstheme="minorHAnsi"/>
          <w:color w:val="333333"/>
          <w:sz w:val="20"/>
          <w:szCs w:val="20"/>
          <w:lang w:eastAsia="it-IT"/>
        </w:rPr>
        <w:t xml:space="preserve"> attiv</w:t>
      </w:r>
      <w:r w:rsidR="005A22F8">
        <w:rPr>
          <w:rFonts w:eastAsia="Times New Roman" w:cstheme="minorHAnsi"/>
          <w:color w:val="333333"/>
          <w:sz w:val="20"/>
          <w:szCs w:val="20"/>
          <w:lang w:eastAsia="it-IT"/>
        </w:rPr>
        <w:t>o</w:t>
      </w:r>
      <w:r w:rsidRPr="005A22F8">
        <w:rPr>
          <w:rFonts w:eastAsia="Times New Roman" w:cstheme="minorHAnsi"/>
          <w:color w:val="333333"/>
          <w:sz w:val="20"/>
          <w:szCs w:val="20"/>
          <w:lang w:eastAsia="it-IT"/>
        </w:rPr>
        <w:t xml:space="preserve"> un piano valido per l’Italia </w:t>
      </w:r>
      <w:r w:rsidR="00DE4C62" w:rsidRPr="005A22F8">
        <w:rPr>
          <w:rFonts w:eastAsia="Times New Roman" w:cstheme="minorHAnsi"/>
          <w:color w:val="333333"/>
          <w:sz w:val="20"/>
          <w:szCs w:val="20"/>
          <w:lang w:eastAsia="it-IT"/>
        </w:rPr>
        <w:t>e per</w:t>
      </w:r>
      <w:r w:rsidRPr="005A22F8">
        <w:rPr>
          <w:rFonts w:eastAsia="Times New Roman" w:cstheme="minorHAnsi"/>
          <w:color w:val="333333"/>
          <w:sz w:val="20"/>
          <w:szCs w:val="20"/>
          <w:lang w:eastAsia="it-IT"/>
        </w:rPr>
        <w:t xml:space="preserve"> i paesi </w:t>
      </w:r>
      <w:r w:rsidR="005C41F8" w:rsidRPr="005A22F8">
        <w:rPr>
          <w:rFonts w:eastAsia="Times New Roman" w:cstheme="minorHAnsi"/>
          <w:color w:val="333333"/>
          <w:sz w:val="20"/>
          <w:szCs w:val="20"/>
          <w:lang w:eastAsia="it-IT"/>
        </w:rPr>
        <w:t xml:space="preserve">facenti </w:t>
      </w:r>
      <w:r w:rsidRPr="005A22F8">
        <w:rPr>
          <w:rFonts w:eastAsia="Times New Roman" w:cstheme="minorHAnsi"/>
          <w:color w:val="333333"/>
          <w:sz w:val="20"/>
          <w:szCs w:val="20"/>
          <w:lang w:eastAsia="it-IT"/>
        </w:rPr>
        <w:t>parte dello Spazio Economico Europeo (SEE)</w:t>
      </w:r>
      <w:r w:rsidR="00A53528" w:rsidRPr="005A22F8">
        <w:rPr>
          <w:rFonts w:eastAsia="Times New Roman" w:cstheme="minorHAnsi"/>
          <w:color w:val="333333"/>
          <w:sz w:val="20"/>
          <w:szCs w:val="20"/>
          <w:lang w:eastAsia="it-IT"/>
        </w:rPr>
        <w:t xml:space="preserve"> + Svizzera e UK,</w:t>
      </w:r>
      <w:r w:rsidRPr="005A22F8">
        <w:rPr>
          <w:rFonts w:eastAsia="Times New Roman" w:cstheme="minorHAnsi"/>
          <w:color w:val="333333"/>
          <w:sz w:val="20"/>
          <w:szCs w:val="20"/>
          <w:lang w:eastAsia="it-IT"/>
        </w:rPr>
        <w:t xml:space="preserve"> che prevede un plafond mensile di: </w:t>
      </w:r>
    </w:p>
    <w:p w14:paraId="7A3A6648" w14:textId="77777777" w:rsidR="000D2F29" w:rsidRDefault="000D2F29" w:rsidP="005A22F8">
      <w:pPr>
        <w:shd w:val="clear" w:color="auto" w:fill="FFFFFF"/>
        <w:spacing w:after="0" w:line="276" w:lineRule="auto"/>
        <w:jc w:val="both"/>
        <w:rPr>
          <w:rFonts w:eastAsia="Times New Roman" w:cstheme="minorHAnsi"/>
          <w:color w:val="333333"/>
          <w:sz w:val="20"/>
          <w:szCs w:val="20"/>
          <w:lang w:eastAsia="it-IT"/>
        </w:rPr>
      </w:pPr>
    </w:p>
    <w:p w14:paraId="5A4B3D4E" w14:textId="665B4BAA" w:rsidR="00A53528" w:rsidRPr="005A22F8" w:rsidRDefault="000D2F29" w:rsidP="005A22F8">
      <w:pPr>
        <w:shd w:val="clear" w:color="auto" w:fill="FFFFFF"/>
        <w:spacing w:after="0" w:line="276" w:lineRule="auto"/>
        <w:jc w:val="both"/>
        <w:rPr>
          <w:rFonts w:eastAsia="Times New Roman" w:cstheme="minorHAnsi"/>
          <w:color w:val="333333"/>
          <w:sz w:val="20"/>
          <w:szCs w:val="20"/>
          <w:lang w:eastAsia="it-IT"/>
        </w:rPr>
      </w:pPr>
      <w:r>
        <w:rPr>
          <w:rFonts w:eastAsia="Times New Roman" w:cstheme="minorHAnsi"/>
          <w:color w:val="333333"/>
          <w:sz w:val="20"/>
          <w:szCs w:val="20"/>
          <w:lang w:eastAsia="it-IT"/>
        </w:rPr>
        <w:t xml:space="preserve">PROFILO </w:t>
      </w:r>
      <w:r w:rsidR="005773C6">
        <w:rPr>
          <w:rFonts w:eastAsia="Times New Roman" w:cstheme="minorHAnsi"/>
          <w:color w:val="333333"/>
          <w:sz w:val="20"/>
          <w:szCs w:val="20"/>
          <w:lang w:eastAsia="it-IT"/>
        </w:rPr>
        <w:t>PREMIUM-ILLIMITATO</w:t>
      </w:r>
    </w:p>
    <w:p w14:paraId="29D00FD6" w14:textId="552112FB" w:rsidR="005C41F8" w:rsidRPr="005A22F8" w:rsidRDefault="005773C6" w:rsidP="005A22F8">
      <w:pPr>
        <w:shd w:val="clear" w:color="auto" w:fill="FFFFFF"/>
        <w:spacing w:before="220" w:after="0" w:line="276" w:lineRule="auto"/>
        <w:jc w:val="center"/>
        <w:rPr>
          <w:rFonts w:eastAsia="Times New Roman" w:cstheme="minorHAnsi"/>
          <w:sz w:val="20"/>
          <w:szCs w:val="20"/>
          <w:lang w:eastAsia="it-IT"/>
        </w:rPr>
      </w:pPr>
      <w:r w:rsidRPr="005773C6">
        <w:rPr>
          <w:noProof/>
        </w:rPr>
        <w:drawing>
          <wp:inline distT="0" distB="0" distL="0" distR="0" wp14:anchorId="241C0577" wp14:editId="0854EF15">
            <wp:extent cx="6120130" cy="1764665"/>
            <wp:effectExtent l="0" t="0" r="0" b="6985"/>
            <wp:docPr id="5859429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764665"/>
                    </a:xfrm>
                    <a:prstGeom prst="rect">
                      <a:avLst/>
                    </a:prstGeom>
                    <a:noFill/>
                    <a:ln>
                      <a:noFill/>
                    </a:ln>
                  </pic:spPr>
                </pic:pic>
              </a:graphicData>
            </a:graphic>
          </wp:inline>
        </w:drawing>
      </w:r>
    </w:p>
    <w:p w14:paraId="6E60BC01" w14:textId="77777777" w:rsidR="005C41F8" w:rsidRPr="005A22F8" w:rsidRDefault="005C41F8" w:rsidP="005A22F8">
      <w:pPr>
        <w:autoSpaceDE w:val="0"/>
        <w:autoSpaceDN w:val="0"/>
        <w:adjustRightInd w:val="0"/>
        <w:spacing w:after="0" w:line="276" w:lineRule="auto"/>
        <w:rPr>
          <w:rFonts w:eastAsia="Times New Roman" w:cstheme="minorHAnsi"/>
          <w:sz w:val="20"/>
          <w:szCs w:val="20"/>
          <w:lang w:eastAsia="it-IT"/>
        </w:rPr>
      </w:pPr>
    </w:p>
    <w:p w14:paraId="28F56E43" w14:textId="4E8FFE05" w:rsidR="005C41F8" w:rsidRPr="005A22F8" w:rsidRDefault="00E118D5" w:rsidP="005A22F8">
      <w:pPr>
        <w:autoSpaceDE w:val="0"/>
        <w:autoSpaceDN w:val="0"/>
        <w:adjustRightInd w:val="0"/>
        <w:spacing w:after="0" w:line="276" w:lineRule="auto"/>
        <w:rPr>
          <w:rFonts w:cstheme="minorHAnsi"/>
          <w:sz w:val="20"/>
          <w:szCs w:val="20"/>
        </w:rPr>
      </w:pPr>
      <w:r w:rsidRPr="005A22F8">
        <w:rPr>
          <w:rFonts w:cstheme="minorHAnsi"/>
          <w:sz w:val="20"/>
          <w:szCs w:val="20"/>
        </w:rPr>
        <w:t xml:space="preserve">In caso di esaurimento dei pacchetti SMS, MMS, Chiamate internazionali </w:t>
      </w:r>
      <w:r w:rsidR="00E707AE" w:rsidRPr="005A22F8">
        <w:rPr>
          <w:rFonts w:cstheme="minorHAnsi"/>
          <w:sz w:val="20"/>
          <w:szCs w:val="20"/>
        </w:rPr>
        <w:t xml:space="preserve">(da Paesi SEE </w:t>
      </w:r>
      <w:proofErr w:type="gramStart"/>
      <w:r w:rsidR="00E707AE" w:rsidRPr="005A22F8">
        <w:rPr>
          <w:rFonts w:cstheme="minorHAnsi"/>
          <w:sz w:val="20"/>
          <w:szCs w:val="20"/>
        </w:rPr>
        <w:t>e</w:t>
      </w:r>
      <w:proofErr w:type="gramEnd"/>
      <w:r w:rsidR="00E707AE" w:rsidRPr="005A22F8">
        <w:rPr>
          <w:rFonts w:cstheme="minorHAnsi"/>
          <w:sz w:val="20"/>
          <w:szCs w:val="20"/>
        </w:rPr>
        <w:t xml:space="preserve"> Extra SEE) </w:t>
      </w:r>
      <w:r w:rsidRPr="005A22F8">
        <w:rPr>
          <w:rFonts w:cstheme="minorHAnsi"/>
          <w:sz w:val="20"/>
          <w:szCs w:val="20"/>
        </w:rPr>
        <w:t xml:space="preserve">il traffico </w:t>
      </w:r>
      <w:r w:rsidR="005C41F8" w:rsidRPr="005A22F8">
        <w:rPr>
          <w:rFonts w:cstheme="minorHAnsi"/>
          <w:sz w:val="20"/>
          <w:szCs w:val="20"/>
        </w:rPr>
        <w:t xml:space="preserve">eccedente </w:t>
      </w:r>
      <w:r w:rsidRPr="005A22F8">
        <w:rPr>
          <w:rFonts w:cstheme="minorHAnsi"/>
          <w:sz w:val="20"/>
          <w:szCs w:val="20"/>
        </w:rPr>
        <w:t xml:space="preserve">verrà addebitato extra alle seguenti tariffe: </w:t>
      </w:r>
      <w:r w:rsidR="005C41F8" w:rsidRPr="005A22F8">
        <w:rPr>
          <w:rFonts w:cstheme="minorHAnsi"/>
          <w:sz w:val="20"/>
          <w:szCs w:val="20"/>
        </w:rPr>
        <w:t xml:space="preserve"> </w:t>
      </w:r>
    </w:p>
    <w:p w14:paraId="44E3CB5B" w14:textId="51965761" w:rsidR="005C41F8" w:rsidRPr="005A22F8" w:rsidRDefault="005C41F8" w:rsidP="005A22F8">
      <w:pPr>
        <w:shd w:val="clear" w:color="auto" w:fill="FFFFFF"/>
        <w:spacing w:before="220" w:after="0" w:line="276" w:lineRule="auto"/>
        <w:ind w:left="360"/>
        <w:jc w:val="center"/>
        <w:rPr>
          <w:rFonts w:eastAsia="Times New Roman" w:cstheme="minorHAnsi"/>
          <w:sz w:val="20"/>
          <w:szCs w:val="20"/>
          <w:lang w:eastAsia="it-IT"/>
        </w:rPr>
      </w:pPr>
      <w:r w:rsidRPr="005A22F8">
        <w:rPr>
          <w:rFonts w:cstheme="minorHAnsi"/>
          <w:noProof/>
          <w:sz w:val="20"/>
          <w:szCs w:val="20"/>
        </w:rPr>
        <w:drawing>
          <wp:inline distT="0" distB="0" distL="0" distR="0" wp14:anchorId="6205C7BC" wp14:editId="6200BE6D">
            <wp:extent cx="3481705" cy="984885"/>
            <wp:effectExtent l="0" t="0" r="4445" b="5715"/>
            <wp:docPr id="33899498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1705" cy="984885"/>
                    </a:xfrm>
                    <a:prstGeom prst="rect">
                      <a:avLst/>
                    </a:prstGeom>
                    <a:noFill/>
                    <a:ln>
                      <a:noFill/>
                    </a:ln>
                  </pic:spPr>
                </pic:pic>
              </a:graphicData>
            </a:graphic>
          </wp:inline>
        </w:drawing>
      </w:r>
    </w:p>
    <w:p w14:paraId="3D9C07BD" w14:textId="24D67132" w:rsidR="00DE4C62" w:rsidRPr="005A22F8" w:rsidRDefault="00DE4C62" w:rsidP="005A22F8">
      <w:pPr>
        <w:pStyle w:val="Paragrafoelenco"/>
        <w:numPr>
          <w:ilvl w:val="0"/>
          <w:numId w:val="3"/>
        </w:num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b/>
          <w:i/>
          <w:sz w:val="20"/>
          <w:szCs w:val="20"/>
          <w:u w:val="single"/>
          <w:lang w:eastAsia="it-IT"/>
        </w:rPr>
        <w:t xml:space="preserve">UTILIZZO DELLA LINEA MOBILE NEGLI STATI EXTRA-EUROPEI: </w:t>
      </w:r>
      <w:r w:rsidRPr="005A22F8">
        <w:rPr>
          <w:rFonts w:eastAsia="Times New Roman" w:cstheme="minorHAnsi"/>
          <w:sz w:val="20"/>
          <w:szCs w:val="20"/>
          <w:lang w:eastAsia="it-IT"/>
        </w:rPr>
        <w:t xml:space="preserve"> </w:t>
      </w:r>
    </w:p>
    <w:p w14:paraId="5AE63113" w14:textId="77777777" w:rsidR="005773C6" w:rsidRDefault="00DE4C62" w:rsidP="005A22F8">
      <w:p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sz w:val="20"/>
          <w:szCs w:val="20"/>
          <w:lang w:eastAsia="it-IT"/>
        </w:rPr>
        <w:t>D</w:t>
      </w:r>
      <w:r w:rsidR="004A0A7F" w:rsidRPr="005A22F8">
        <w:rPr>
          <w:rFonts w:eastAsia="Times New Roman" w:cstheme="minorHAnsi"/>
          <w:sz w:val="20"/>
          <w:szCs w:val="20"/>
          <w:lang w:eastAsia="it-IT"/>
        </w:rPr>
        <w:t>i default il traffico</w:t>
      </w:r>
      <w:r w:rsidR="005C41F8" w:rsidRPr="005A22F8">
        <w:rPr>
          <w:rFonts w:eastAsia="Times New Roman" w:cstheme="minorHAnsi"/>
          <w:sz w:val="20"/>
          <w:szCs w:val="20"/>
          <w:lang w:eastAsia="it-IT"/>
        </w:rPr>
        <w:t xml:space="preserve"> </w:t>
      </w:r>
      <w:r w:rsidR="004A0A7F" w:rsidRPr="005A22F8">
        <w:rPr>
          <w:rFonts w:eastAsia="Times New Roman" w:cstheme="minorHAnsi"/>
          <w:sz w:val="20"/>
          <w:szCs w:val="20"/>
          <w:lang w:eastAsia="it-IT"/>
        </w:rPr>
        <w:t xml:space="preserve">nei paesi </w:t>
      </w:r>
      <w:r w:rsidR="004A0A7F" w:rsidRPr="005A22F8">
        <w:rPr>
          <w:rFonts w:eastAsia="Times New Roman" w:cstheme="minorHAnsi"/>
          <w:sz w:val="20"/>
          <w:szCs w:val="20"/>
          <w:u w:val="single"/>
          <w:lang w:eastAsia="it-IT"/>
        </w:rPr>
        <w:t>Extra-SEE</w:t>
      </w:r>
      <w:r w:rsidR="004A0A7F" w:rsidRPr="005A22F8">
        <w:rPr>
          <w:rFonts w:eastAsia="Times New Roman" w:cstheme="minorHAnsi"/>
          <w:sz w:val="20"/>
          <w:szCs w:val="20"/>
          <w:lang w:eastAsia="it-IT"/>
        </w:rPr>
        <w:t xml:space="preserve"> (</w:t>
      </w:r>
      <w:r w:rsidR="009F32BA" w:rsidRPr="005A22F8">
        <w:rPr>
          <w:rFonts w:eastAsia="Times New Roman" w:cstheme="minorHAnsi"/>
          <w:sz w:val="20"/>
          <w:szCs w:val="20"/>
          <w:lang w:eastAsia="it-IT"/>
        </w:rPr>
        <w:t xml:space="preserve">al di </w:t>
      </w:r>
      <w:r w:rsidR="004A0A7F" w:rsidRPr="005A22F8">
        <w:rPr>
          <w:rFonts w:eastAsia="Times New Roman" w:cstheme="minorHAnsi"/>
          <w:sz w:val="20"/>
          <w:szCs w:val="20"/>
          <w:lang w:eastAsia="it-IT"/>
        </w:rPr>
        <w:t>fuori d</w:t>
      </w:r>
      <w:r w:rsidR="009F32BA" w:rsidRPr="005A22F8">
        <w:rPr>
          <w:rFonts w:eastAsia="Times New Roman" w:cstheme="minorHAnsi"/>
          <w:sz w:val="20"/>
          <w:szCs w:val="20"/>
          <w:lang w:eastAsia="it-IT"/>
        </w:rPr>
        <w:t>e</w:t>
      </w:r>
      <w:r w:rsidR="004A0A7F" w:rsidRPr="005A22F8">
        <w:rPr>
          <w:rFonts w:eastAsia="Times New Roman" w:cstheme="minorHAnsi"/>
          <w:sz w:val="20"/>
          <w:szCs w:val="20"/>
          <w:lang w:eastAsia="it-IT"/>
        </w:rPr>
        <w:t>llo Spazio Economico Europeo</w:t>
      </w:r>
      <w:r w:rsidR="005C41F8" w:rsidRPr="005A22F8">
        <w:rPr>
          <w:rFonts w:eastAsia="Times New Roman" w:cstheme="minorHAnsi"/>
          <w:sz w:val="20"/>
          <w:szCs w:val="20"/>
          <w:lang w:eastAsia="it-IT"/>
        </w:rPr>
        <w:t>, Svizzer</w:t>
      </w:r>
      <w:r w:rsidR="00A00508" w:rsidRPr="005A22F8">
        <w:rPr>
          <w:rFonts w:eastAsia="Times New Roman" w:cstheme="minorHAnsi"/>
          <w:sz w:val="20"/>
          <w:szCs w:val="20"/>
          <w:lang w:eastAsia="it-IT"/>
        </w:rPr>
        <w:t>a</w:t>
      </w:r>
      <w:r w:rsidR="005C41F8" w:rsidRPr="005A22F8">
        <w:rPr>
          <w:rFonts w:eastAsia="Times New Roman" w:cstheme="minorHAnsi"/>
          <w:sz w:val="20"/>
          <w:szCs w:val="20"/>
          <w:lang w:eastAsia="it-IT"/>
        </w:rPr>
        <w:t xml:space="preserve"> e </w:t>
      </w:r>
      <w:proofErr w:type="gramStart"/>
      <w:r w:rsidR="005C41F8" w:rsidRPr="005A22F8">
        <w:rPr>
          <w:rFonts w:eastAsia="Times New Roman" w:cstheme="minorHAnsi"/>
          <w:sz w:val="20"/>
          <w:szCs w:val="20"/>
          <w:lang w:eastAsia="it-IT"/>
        </w:rPr>
        <w:t xml:space="preserve">UK </w:t>
      </w:r>
      <w:r w:rsidR="004A0A7F" w:rsidRPr="005A22F8">
        <w:rPr>
          <w:rFonts w:eastAsia="Times New Roman" w:cstheme="minorHAnsi"/>
          <w:sz w:val="20"/>
          <w:szCs w:val="20"/>
          <w:lang w:eastAsia="it-IT"/>
        </w:rPr>
        <w:t>)</w:t>
      </w:r>
      <w:proofErr w:type="gramEnd"/>
      <w:r w:rsidR="004A0A7F" w:rsidRPr="005A22F8">
        <w:rPr>
          <w:rFonts w:eastAsia="Times New Roman" w:cstheme="minorHAnsi"/>
          <w:sz w:val="20"/>
          <w:szCs w:val="20"/>
          <w:lang w:eastAsia="it-IT"/>
        </w:rPr>
        <w:t xml:space="preserve"> è bloccato. </w:t>
      </w:r>
    </w:p>
    <w:p w14:paraId="72D45A23" w14:textId="3D64B0FA" w:rsidR="004A0A7F" w:rsidRPr="005A22F8" w:rsidRDefault="005C41F8" w:rsidP="005A22F8">
      <w:p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sz w:val="20"/>
          <w:szCs w:val="20"/>
          <w:lang w:eastAsia="it-IT"/>
        </w:rPr>
        <w:t>L</w:t>
      </w:r>
      <w:r w:rsidR="004A0A7F" w:rsidRPr="005A22F8">
        <w:rPr>
          <w:rFonts w:eastAsia="Times New Roman" w:cstheme="minorHAnsi"/>
          <w:sz w:val="20"/>
          <w:szCs w:val="20"/>
          <w:lang w:eastAsia="it-IT"/>
        </w:rPr>
        <w:t xml:space="preserve">a </w:t>
      </w:r>
      <w:proofErr w:type="spellStart"/>
      <w:r w:rsidR="004A0A7F" w:rsidRPr="005A22F8">
        <w:rPr>
          <w:rFonts w:eastAsia="Times New Roman" w:cstheme="minorHAnsi"/>
          <w:sz w:val="20"/>
          <w:szCs w:val="20"/>
          <w:lang w:eastAsia="it-IT"/>
        </w:rPr>
        <w:t>sim</w:t>
      </w:r>
      <w:proofErr w:type="spellEnd"/>
      <w:r w:rsidR="004A0A7F" w:rsidRPr="005A22F8">
        <w:rPr>
          <w:rFonts w:eastAsia="Times New Roman" w:cstheme="minorHAnsi"/>
          <w:sz w:val="20"/>
          <w:szCs w:val="20"/>
          <w:lang w:eastAsia="it-IT"/>
        </w:rPr>
        <w:t xml:space="preserve"> quindi non funzionerà. </w:t>
      </w:r>
    </w:p>
    <w:p w14:paraId="704BEF1C" w14:textId="4BF57FF7" w:rsidR="004A0A7F" w:rsidRPr="005A22F8" w:rsidRDefault="004A0A7F" w:rsidP="005A22F8">
      <w:pPr>
        <w:shd w:val="clear" w:color="auto" w:fill="FFFFFF"/>
        <w:spacing w:before="220" w:after="0" w:line="276" w:lineRule="auto"/>
        <w:jc w:val="both"/>
        <w:rPr>
          <w:rFonts w:eastAsia="Times New Roman" w:cstheme="minorHAnsi"/>
          <w:color w:val="333333"/>
          <w:sz w:val="20"/>
          <w:szCs w:val="20"/>
          <w:lang w:eastAsia="it-IT"/>
        </w:rPr>
      </w:pPr>
      <w:r w:rsidRPr="005A22F8">
        <w:rPr>
          <w:rFonts w:eastAsia="Times New Roman" w:cstheme="minorHAnsi"/>
          <w:sz w:val="20"/>
          <w:szCs w:val="20"/>
          <w:lang w:eastAsia="it-IT"/>
        </w:rPr>
        <w:t xml:space="preserve">Su motivata richiesta è possibile attivare il traffico </w:t>
      </w:r>
      <w:r w:rsidR="005C41F8" w:rsidRPr="005A22F8">
        <w:rPr>
          <w:rFonts w:eastAsia="Times New Roman" w:cstheme="minorHAnsi"/>
          <w:sz w:val="20"/>
          <w:szCs w:val="20"/>
          <w:lang w:eastAsia="it-IT"/>
        </w:rPr>
        <w:t xml:space="preserve">Roaming </w:t>
      </w:r>
      <w:r w:rsidRPr="005A22F8">
        <w:rPr>
          <w:rFonts w:eastAsia="Times New Roman" w:cstheme="minorHAnsi"/>
          <w:sz w:val="20"/>
          <w:szCs w:val="20"/>
          <w:lang w:eastAsia="it-IT"/>
        </w:rPr>
        <w:t xml:space="preserve">Extra-SEE.  In tal caso viene attivato </w:t>
      </w:r>
      <w:r w:rsidR="00A00508" w:rsidRPr="005A22F8">
        <w:rPr>
          <w:rFonts w:eastAsia="Times New Roman" w:cstheme="minorHAnsi"/>
          <w:sz w:val="20"/>
          <w:szCs w:val="20"/>
          <w:lang w:eastAsia="it-IT"/>
        </w:rPr>
        <w:t xml:space="preserve">il </w:t>
      </w:r>
      <w:r w:rsidR="00A00508" w:rsidRPr="005A22F8">
        <w:rPr>
          <w:rFonts w:eastAsia="Times New Roman" w:cstheme="minorHAnsi"/>
          <w:color w:val="333333"/>
          <w:sz w:val="20"/>
          <w:szCs w:val="20"/>
          <w:lang w:eastAsia="it-IT"/>
        </w:rPr>
        <w:t xml:space="preserve">piano </w:t>
      </w:r>
      <w:r w:rsidRPr="005A22F8">
        <w:rPr>
          <w:rFonts w:eastAsia="Times New Roman" w:cstheme="minorHAnsi"/>
          <w:color w:val="333333"/>
          <w:sz w:val="20"/>
          <w:szCs w:val="20"/>
          <w:lang w:eastAsia="it-IT"/>
        </w:rPr>
        <w:t>“Paesi Extra SEE”</w:t>
      </w:r>
      <w:r w:rsidR="00ED2EB7" w:rsidRPr="005A22F8">
        <w:rPr>
          <w:rFonts w:eastAsia="Times New Roman" w:cstheme="minorHAnsi"/>
          <w:color w:val="333333"/>
          <w:sz w:val="20"/>
          <w:szCs w:val="20"/>
          <w:lang w:eastAsia="it-IT"/>
        </w:rPr>
        <w:t xml:space="preserve"> che</w:t>
      </w:r>
      <w:r w:rsidRPr="005A22F8">
        <w:rPr>
          <w:rFonts w:eastAsia="Times New Roman" w:cstheme="minorHAnsi"/>
          <w:color w:val="333333"/>
          <w:sz w:val="20"/>
          <w:szCs w:val="20"/>
          <w:lang w:eastAsia="it-IT"/>
        </w:rPr>
        <w:t xml:space="preserve"> </w:t>
      </w:r>
      <w:r w:rsidR="009F32BA" w:rsidRPr="005A22F8">
        <w:rPr>
          <w:rFonts w:eastAsia="Times New Roman" w:cstheme="minorHAnsi"/>
          <w:color w:val="333333"/>
          <w:sz w:val="20"/>
          <w:szCs w:val="20"/>
          <w:lang w:eastAsia="it-IT"/>
        </w:rPr>
        <w:t>comprende</w:t>
      </w:r>
      <w:r w:rsidRPr="005A22F8">
        <w:rPr>
          <w:rFonts w:eastAsia="Times New Roman" w:cstheme="minorHAnsi"/>
          <w:color w:val="333333"/>
          <w:sz w:val="20"/>
          <w:szCs w:val="20"/>
          <w:lang w:eastAsia="it-IT"/>
        </w:rPr>
        <w:t>:</w:t>
      </w:r>
    </w:p>
    <w:p w14:paraId="2A668294" w14:textId="39AC1EFD" w:rsidR="004A0A7F" w:rsidRPr="005A22F8" w:rsidRDefault="004A0A7F" w:rsidP="005A22F8">
      <w:pPr>
        <w:shd w:val="clear" w:color="auto" w:fill="FFFFFF"/>
        <w:spacing w:before="220" w:after="0" w:line="276" w:lineRule="auto"/>
        <w:jc w:val="both"/>
        <w:rPr>
          <w:rFonts w:eastAsia="Times New Roman" w:cstheme="minorHAnsi"/>
          <w:sz w:val="20"/>
          <w:szCs w:val="20"/>
          <w:lang w:eastAsia="it-IT"/>
        </w:rPr>
      </w:pPr>
    </w:p>
    <w:tbl>
      <w:tblPr>
        <w:tblStyle w:val="Grigliatabella"/>
        <w:tblW w:w="0" w:type="auto"/>
        <w:tblLook w:val="04A0" w:firstRow="1" w:lastRow="0" w:firstColumn="1" w:lastColumn="0" w:noHBand="0" w:noVBand="1"/>
      </w:tblPr>
      <w:tblGrid>
        <w:gridCol w:w="704"/>
        <w:gridCol w:w="8924"/>
      </w:tblGrid>
      <w:tr w:rsidR="004A0A7F" w:rsidRPr="005A22F8" w14:paraId="678DCF56" w14:textId="77777777" w:rsidTr="004A0A7F">
        <w:tc>
          <w:tcPr>
            <w:tcW w:w="704" w:type="dxa"/>
          </w:tcPr>
          <w:p w14:paraId="22C1160E" w14:textId="4076C1C8" w:rsidR="004A0A7F" w:rsidRPr="005A22F8" w:rsidRDefault="004A0A7F" w:rsidP="005A22F8">
            <w:pPr>
              <w:spacing w:line="276" w:lineRule="auto"/>
              <w:jc w:val="both"/>
              <w:rPr>
                <w:rFonts w:cstheme="minorHAnsi"/>
                <w:sz w:val="20"/>
                <w:szCs w:val="20"/>
              </w:rPr>
            </w:pPr>
            <w:r w:rsidRPr="005A22F8">
              <w:rPr>
                <w:rFonts w:cstheme="minorHAnsi"/>
                <w:sz w:val="20"/>
                <w:szCs w:val="20"/>
              </w:rPr>
              <w:t>30</w:t>
            </w:r>
          </w:p>
        </w:tc>
        <w:tc>
          <w:tcPr>
            <w:tcW w:w="8924" w:type="dxa"/>
          </w:tcPr>
          <w:p w14:paraId="45F250E5" w14:textId="0085E19C" w:rsidR="004A0A7F" w:rsidRPr="005A22F8" w:rsidRDefault="004A0A7F" w:rsidP="005A22F8">
            <w:pPr>
              <w:pStyle w:val="Paragrafoelenco"/>
              <w:numPr>
                <w:ilvl w:val="0"/>
                <w:numId w:val="3"/>
              </w:numPr>
              <w:spacing w:line="276" w:lineRule="auto"/>
              <w:jc w:val="both"/>
              <w:rPr>
                <w:rFonts w:cstheme="minorHAnsi"/>
                <w:sz w:val="20"/>
                <w:szCs w:val="20"/>
              </w:rPr>
            </w:pPr>
            <w:r w:rsidRPr="005A22F8">
              <w:rPr>
                <w:rFonts w:cstheme="minorHAnsi"/>
                <w:sz w:val="20"/>
                <w:szCs w:val="20"/>
              </w:rPr>
              <w:t>Minuti di chiamate vocali originate e ricevute in roaming non regolamentato.</w:t>
            </w:r>
          </w:p>
          <w:p w14:paraId="731B8036" w14:textId="0112871D" w:rsidR="004A0A7F" w:rsidRPr="005A22F8" w:rsidRDefault="004A0A7F" w:rsidP="005A22F8">
            <w:pPr>
              <w:spacing w:line="276" w:lineRule="auto"/>
              <w:jc w:val="both"/>
              <w:rPr>
                <w:rFonts w:cstheme="minorHAnsi"/>
                <w:sz w:val="20"/>
                <w:szCs w:val="20"/>
              </w:rPr>
            </w:pPr>
            <w:r w:rsidRPr="005A22F8">
              <w:rPr>
                <w:rFonts w:cstheme="minorHAnsi"/>
                <w:sz w:val="20"/>
                <w:szCs w:val="20"/>
              </w:rPr>
              <w:t>Sono conteggiati sulla base dei secondi effettivi di conversazione, senza scatto alla risposta;</w:t>
            </w:r>
          </w:p>
          <w:p w14:paraId="6477EB61" w14:textId="77777777" w:rsidR="004A0A7F" w:rsidRPr="005A22F8" w:rsidRDefault="004A0A7F" w:rsidP="005A22F8">
            <w:pPr>
              <w:spacing w:line="276" w:lineRule="auto"/>
              <w:jc w:val="both"/>
              <w:rPr>
                <w:rFonts w:cstheme="minorHAnsi"/>
                <w:sz w:val="20"/>
                <w:szCs w:val="20"/>
              </w:rPr>
            </w:pPr>
          </w:p>
        </w:tc>
      </w:tr>
      <w:tr w:rsidR="004A0A7F" w:rsidRPr="005A22F8" w14:paraId="5CCDBBA1" w14:textId="77777777" w:rsidTr="004A0A7F">
        <w:tc>
          <w:tcPr>
            <w:tcW w:w="704" w:type="dxa"/>
          </w:tcPr>
          <w:p w14:paraId="7CC270F2" w14:textId="408EBC2D" w:rsidR="004A0A7F" w:rsidRPr="005A22F8" w:rsidRDefault="004A0A7F" w:rsidP="005A22F8">
            <w:pPr>
              <w:spacing w:line="276" w:lineRule="auto"/>
              <w:jc w:val="both"/>
              <w:rPr>
                <w:rFonts w:cstheme="minorHAnsi"/>
                <w:sz w:val="20"/>
                <w:szCs w:val="20"/>
              </w:rPr>
            </w:pPr>
            <w:r w:rsidRPr="005A22F8">
              <w:rPr>
                <w:rFonts w:cstheme="minorHAnsi"/>
                <w:sz w:val="20"/>
                <w:szCs w:val="20"/>
              </w:rPr>
              <w:t>30</w:t>
            </w:r>
          </w:p>
        </w:tc>
        <w:tc>
          <w:tcPr>
            <w:tcW w:w="8924" w:type="dxa"/>
          </w:tcPr>
          <w:p w14:paraId="4A73F012" w14:textId="6C55B6F6" w:rsidR="004A0A7F" w:rsidRPr="005A22F8" w:rsidRDefault="004A0A7F" w:rsidP="005A22F8">
            <w:pPr>
              <w:pStyle w:val="Paragrafoelenco"/>
              <w:numPr>
                <w:ilvl w:val="0"/>
                <w:numId w:val="3"/>
              </w:numPr>
              <w:spacing w:line="276" w:lineRule="auto"/>
              <w:jc w:val="both"/>
              <w:rPr>
                <w:rFonts w:cstheme="minorHAnsi"/>
                <w:sz w:val="20"/>
                <w:szCs w:val="20"/>
              </w:rPr>
            </w:pPr>
            <w:r w:rsidRPr="005A22F8">
              <w:rPr>
                <w:rFonts w:cstheme="minorHAnsi"/>
                <w:sz w:val="20"/>
                <w:szCs w:val="20"/>
              </w:rPr>
              <w:t>SMS originati in roaming non regolamentato;</w:t>
            </w:r>
          </w:p>
        </w:tc>
      </w:tr>
      <w:tr w:rsidR="004A0A7F" w:rsidRPr="005A22F8" w14:paraId="66B1E5F3" w14:textId="77777777" w:rsidTr="004A0A7F">
        <w:tc>
          <w:tcPr>
            <w:tcW w:w="704" w:type="dxa"/>
          </w:tcPr>
          <w:p w14:paraId="6D5404BB" w14:textId="6F1ABFCC" w:rsidR="004A0A7F" w:rsidRPr="005A22F8" w:rsidRDefault="004A0A7F" w:rsidP="005A22F8">
            <w:pPr>
              <w:spacing w:line="276" w:lineRule="auto"/>
              <w:jc w:val="both"/>
              <w:rPr>
                <w:rFonts w:cstheme="minorHAnsi"/>
                <w:sz w:val="20"/>
                <w:szCs w:val="20"/>
              </w:rPr>
            </w:pPr>
            <w:r w:rsidRPr="005A22F8">
              <w:rPr>
                <w:rFonts w:cstheme="minorHAnsi"/>
                <w:sz w:val="20"/>
                <w:szCs w:val="20"/>
              </w:rPr>
              <w:t>100</w:t>
            </w:r>
          </w:p>
        </w:tc>
        <w:tc>
          <w:tcPr>
            <w:tcW w:w="8924" w:type="dxa"/>
          </w:tcPr>
          <w:p w14:paraId="4B466588" w14:textId="16D35F3D" w:rsidR="004A0A7F" w:rsidRPr="005A22F8" w:rsidRDefault="004A0A7F" w:rsidP="005A22F8">
            <w:pPr>
              <w:pStyle w:val="Paragrafoelenco"/>
              <w:numPr>
                <w:ilvl w:val="0"/>
                <w:numId w:val="3"/>
              </w:numPr>
              <w:spacing w:line="276" w:lineRule="auto"/>
              <w:jc w:val="both"/>
              <w:rPr>
                <w:rFonts w:cstheme="minorHAnsi"/>
                <w:sz w:val="20"/>
                <w:szCs w:val="20"/>
              </w:rPr>
            </w:pPr>
            <w:proofErr w:type="spellStart"/>
            <w:r w:rsidRPr="005A22F8">
              <w:rPr>
                <w:rFonts w:cstheme="minorHAnsi"/>
                <w:sz w:val="20"/>
                <w:szCs w:val="20"/>
              </w:rPr>
              <w:t>Mbytes</w:t>
            </w:r>
            <w:proofErr w:type="spellEnd"/>
            <w:r w:rsidRPr="005A22F8">
              <w:rPr>
                <w:rFonts w:cstheme="minorHAnsi"/>
                <w:sz w:val="20"/>
                <w:szCs w:val="20"/>
              </w:rPr>
              <w:t xml:space="preserve"> di traffico dati in roaming non regolamentato, con conteggio effettuato in base ai Kbyte trasmessi/ricevuti;</w:t>
            </w:r>
          </w:p>
        </w:tc>
      </w:tr>
    </w:tbl>
    <w:p w14:paraId="0DFD9910" w14:textId="09C6605C" w:rsidR="00DE4C62" w:rsidRPr="005A22F8" w:rsidRDefault="00E707AE" w:rsidP="005A22F8">
      <w:pPr>
        <w:shd w:val="clear" w:color="auto" w:fill="FFFFFF"/>
        <w:spacing w:before="220" w:after="0" w:line="276" w:lineRule="auto"/>
        <w:rPr>
          <w:rFonts w:eastAsia="Times New Roman" w:cstheme="minorHAnsi"/>
          <w:sz w:val="20"/>
          <w:szCs w:val="20"/>
          <w:lang w:eastAsia="it-IT"/>
        </w:rPr>
      </w:pPr>
      <w:r w:rsidRPr="005A22F8">
        <w:rPr>
          <w:rFonts w:eastAsia="Times New Roman" w:cstheme="minorHAnsi"/>
          <w:sz w:val="20"/>
          <w:szCs w:val="20"/>
          <w:lang w:eastAsia="it-IT"/>
        </w:rPr>
        <w:t>Il servizio si attiva</w:t>
      </w:r>
      <w:r w:rsidR="00ED2EB7" w:rsidRPr="005A22F8">
        <w:rPr>
          <w:rFonts w:eastAsia="Times New Roman" w:cstheme="minorHAnsi"/>
          <w:sz w:val="20"/>
          <w:szCs w:val="20"/>
          <w:lang w:eastAsia="it-IT"/>
        </w:rPr>
        <w:t xml:space="preserve"> al costo di </w:t>
      </w:r>
      <w:r w:rsidR="00ED2EB7" w:rsidRPr="005A22F8">
        <w:rPr>
          <w:rFonts w:cstheme="minorHAnsi"/>
          <w:sz w:val="20"/>
          <w:szCs w:val="20"/>
        </w:rPr>
        <w:t>€ 2,20 Cad./giorno</w:t>
      </w:r>
      <w:r w:rsidRPr="005A22F8">
        <w:rPr>
          <w:rFonts w:eastAsia="Times New Roman" w:cstheme="minorHAnsi"/>
          <w:sz w:val="20"/>
          <w:szCs w:val="20"/>
          <w:lang w:eastAsia="it-IT"/>
        </w:rPr>
        <w:t>, con addebito del relativo costo, alla prima chiamata effettuata o ricevuta, deviazione verso la segreteria telefonica, SMS inviato o connessione internet della giornata. I contenuti sono utilizzabili dal momento dell'attivazione del servizio fino alle 24:00 ora italiana.</w:t>
      </w:r>
      <w:r w:rsidR="00ED2EB7" w:rsidRPr="005A22F8">
        <w:rPr>
          <w:rFonts w:eastAsia="Times New Roman" w:cstheme="minorHAnsi"/>
          <w:sz w:val="20"/>
          <w:szCs w:val="20"/>
          <w:lang w:eastAsia="it-IT"/>
        </w:rPr>
        <w:t xml:space="preserve"> In caso di sforamento del traffico il </w:t>
      </w:r>
      <w:r w:rsidR="00ED2EB7" w:rsidRPr="005A22F8">
        <w:rPr>
          <w:rFonts w:eastAsia="Times New Roman" w:cstheme="minorHAnsi"/>
          <w:sz w:val="20"/>
          <w:szCs w:val="20"/>
          <w:lang w:eastAsia="it-IT"/>
        </w:rPr>
        <w:lastRenderedPageBreak/>
        <w:t xml:space="preserve">pacchetto si rinnoverà per un massimo di </w:t>
      </w:r>
      <w:proofErr w:type="gramStart"/>
      <w:r w:rsidR="00ED2EB7" w:rsidRPr="005A22F8">
        <w:rPr>
          <w:rFonts w:eastAsia="Times New Roman" w:cstheme="minorHAnsi"/>
          <w:sz w:val="20"/>
          <w:szCs w:val="20"/>
          <w:lang w:eastAsia="it-IT"/>
        </w:rPr>
        <w:t>3</w:t>
      </w:r>
      <w:proofErr w:type="gramEnd"/>
      <w:r w:rsidR="004864DE" w:rsidRPr="005A22F8">
        <w:rPr>
          <w:rFonts w:eastAsia="Times New Roman" w:cstheme="minorHAnsi"/>
          <w:sz w:val="20"/>
          <w:szCs w:val="20"/>
          <w:lang w:eastAsia="it-IT"/>
        </w:rPr>
        <w:t xml:space="preserve"> volte</w:t>
      </w:r>
      <w:r w:rsidR="00ED2EB7" w:rsidRPr="005A22F8">
        <w:rPr>
          <w:rFonts w:eastAsia="Times New Roman" w:cstheme="minorHAnsi"/>
          <w:sz w:val="20"/>
          <w:szCs w:val="20"/>
          <w:lang w:eastAsia="it-IT"/>
        </w:rPr>
        <w:t xml:space="preserve"> all’interno della stessa giornata. </w:t>
      </w:r>
      <w:r w:rsidRPr="005A22F8">
        <w:rPr>
          <w:rFonts w:eastAsia="Times New Roman" w:cstheme="minorHAnsi"/>
          <w:sz w:val="20"/>
          <w:szCs w:val="20"/>
          <w:lang w:eastAsia="it-IT"/>
        </w:rPr>
        <w:t xml:space="preserve"> In caso di mancato utilizzo non verrà addebitato nulla. </w:t>
      </w:r>
    </w:p>
    <w:p w14:paraId="585ABBB1" w14:textId="320E7044" w:rsidR="00E707AE" w:rsidRPr="005A22F8" w:rsidRDefault="00E707AE" w:rsidP="005A22F8">
      <w:pPr>
        <w:shd w:val="clear" w:color="auto" w:fill="FFFFFF"/>
        <w:spacing w:before="220" w:after="0" w:line="276" w:lineRule="auto"/>
        <w:rPr>
          <w:rFonts w:eastAsia="Times New Roman" w:cstheme="minorHAnsi"/>
          <w:sz w:val="20"/>
          <w:szCs w:val="20"/>
          <w:lang w:eastAsia="it-IT"/>
        </w:rPr>
      </w:pPr>
      <w:r w:rsidRPr="005A22F8">
        <w:rPr>
          <w:rFonts w:eastAsia="Times New Roman" w:cstheme="minorHAnsi"/>
          <w:sz w:val="20"/>
          <w:szCs w:val="20"/>
          <w:lang w:eastAsia="it-IT"/>
        </w:rPr>
        <w:t xml:space="preserve">LINEE GUIDA: </w:t>
      </w:r>
    </w:p>
    <w:p w14:paraId="65679E36" w14:textId="442E448F" w:rsidR="004A0A7F" w:rsidRPr="005A22F8" w:rsidRDefault="004A0A7F" w:rsidP="005A22F8">
      <w:pPr>
        <w:shd w:val="clear" w:color="auto" w:fill="FFFFFF"/>
        <w:spacing w:before="220" w:line="276" w:lineRule="auto"/>
        <w:jc w:val="both"/>
        <w:rPr>
          <w:rFonts w:eastAsia="Times New Roman" w:cstheme="minorHAnsi"/>
          <w:sz w:val="20"/>
          <w:szCs w:val="20"/>
          <w:lang w:eastAsia="it-IT"/>
        </w:rPr>
      </w:pPr>
      <w:r w:rsidRPr="005A22F8">
        <w:rPr>
          <w:rFonts w:eastAsia="Times New Roman" w:cstheme="minorHAnsi"/>
          <w:color w:val="333333"/>
          <w:sz w:val="20"/>
          <w:szCs w:val="20"/>
          <w:lang w:eastAsia="it-IT"/>
        </w:rPr>
        <w:t xml:space="preserve">Visto che le tariffe per i paesi </w:t>
      </w:r>
      <w:r w:rsidR="00DE4C62" w:rsidRPr="005A22F8">
        <w:rPr>
          <w:rFonts w:eastAsia="Times New Roman" w:cstheme="minorHAnsi"/>
          <w:color w:val="333333"/>
          <w:sz w:val="20"/>
          <w:szCs w:val="20"/>
          <w:lang w:eastAsia="it-IT"/>
        </w:rPr>
        <w:t>E</w:t>
      </w:r>
      <w:r w:rsidRPr="005A22F8">
        <w:rPr>
          <w:rFonts w:eastAsia="Times New Roman" w:cstheme="minorHAnsi"/>
          <w:color w:val="333333"/>
          <w:sz w:val="20"/>
          <w:szCs w:val="20"/>
          <w:lang w:eastAsia="it-IT"/>
        </w:rPr>
        <w:t>xtra</w:t>
      </w:r>
      <w:r w:rsidR="00DE4C62" w:rsidRPr="005A22F8">
        <w:rPr>
          <w:rFonts w:eastAsia="Times New Roman" w:cstheme="minorHAnsi"/>
          <w:color w:val="333333"/>
          <w:sz w:val="20"/>
          <w:szCs w:val="20"/>
          <w:lang w:eastAsia="it-IT"/>
        </w:rPr>
        <w:t xml:space="preserve"> </w:t>
      </w:r>
      <w:r w:rsidRPr="005A22F8">
        <w:rPr>
          <w:rFonts w:eastAsia="Times New Roman" w:cstheme="minorHAnsi"/>
          <w:color w:val="333333"/>
          <w:sz w:val="20"/>
          <w:szCs w:val="20"/>
          <w:lang w:eastAsia="it-IT"/>
        </w:rPr>
        <w:t>SEE sono molto più alte di quelle applicate in ambito SEE, gli utenti nei viaggi in zone extra SEE sono tenuti a seguire le seguenti regole:</w:t>
      </w:r>
    </w:p>
    <w:p w14:paraId="532D7A5F" w14:textId="77777777" w:rsidR="004A0A7F" w:rsidRPr="005A22F8" w:rsidRDefault="004A0A7F" w:rsidP="005A22F8">
      <w:pPr>
        <w:numPr>
          <w:ilvl w:val="0"/>
          <w:numId w:val="1"/>
        </w:numPr>
        <w:spacing w:before="440"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tenere sempre spenta, se non necessaria, la funzione di roaming dei dispositivi;</w:t>
      </w:r>
    </w:p>
    <w:p w14:paraId="12BC78EA"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utilizzare sempre, se disponibili, le reti WiFi degli aeroporti, alberghi, università, ecc.;</w:t>
      </w:r>
    </w:p>
    <w:p w14:paraId="637759C9"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utilizzare, se disponibile, il modem WiFi fornito dalla Fondazione;</w:t>
      </w:r>
    </w:p>
    <w:p w14:paraId="74BC575F" w14:textId="416BB3F0"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utilizzare le applicazioni di telefonia SIP consigliate a questo</w:t>
      </w:r>
      <w:r w:rsidR="00DE4C62" w:rsidRPr="005A22F8">
        <w:rPr>
          <w:rFonts w:eastAsia="Times New Roman" w:cstheme="minorHAnsi"/>
          <w:color w:val="333333"/>
          <w:sz w:val="20"/>
          <w:szCs w:val="20"/>
          <w:lang w:eastAsia="it-IT"/>
        </w:rPr>
        <w:t xml:space="preserve"> link: </w:t>
      </w:r>
      <w:hyperlink r:id="rId8" w:tgtFrame="_blank" w:history="1">
        <w:r w:rsidR="00DE4C62" w:rsidRPr="005A22F8">
          <w:rPr>
            <w:rStyle w:val="Collegamentoipertestuale"/>
            <w:rFonts w:cstheme="minorHAnsi"/>
            <w:sz w:val="20"/>
            <w:szCs w:val="20"/>
          </w:rPr>
          <w:t>howto.fbk.eu</w:t>
        </w:r>
      </w:hyperlink>
    </w:p>
    <w:p w14:paraId="7870D22B"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evitare di effettuare streaming di musica, video o altro;</w:t>
      </w:r>
    </w:p>
    <w:p w14:paraId="1B3BA2CD"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evitare di scaricare aggiornamenti del sistema operativo, delle applicazioni o documenti di grandi dimensioni;</w:t>
      </w:r>
    </w:p>
    <w:p w14:paraId="59E14A98" w14:textId="3E08EF33" w:rsidR="004A0A7F" w:rsidRPr="005A22F8" w:rsidRDefault="004A0A7F" w:rsidP="005A22F8">
      <w:pPr>
        <w:numPr>
          <w:ilvl w:val="0"/>
          <w:numId w:val="1"/>
        </w:numPr>
        <w:spacing w:after="44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evitare di utilizzare i dispositivi come modem per dare connessione al PC od altri dispositivi.</w:t>
      </w:r>
    </w:p>
    <w:p w14:paraId="2841E056" w14:textId="52A50143" w:rsidR="00DE4C62" w:rsidRPr="005A22F8" w:rsidRDefault="00DE4C62" w:rsidP="005A22F8">
      <w:pPr>
        <w:pStyle w:val="Paragrafoelenco"/>
        <w:numPr>
          <w:ilvl w:val="0"/>
          <w:numId w:val="3"/>
        </w:num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b/>
          <w:i/>
          <w:sz w:val="20"/>
          <w:szCs w:val="20"/>
          <w:u w:val="single"/>
          <w:lang w:eastAsia="it-IT"/>
        </w:rPr>
        <w:t xml:space="preserve">PAESI SEE: </w:t>
      </w:r>
      <w:r w:rsidRPr="005A22F8">
        <w:rPr>
          <w:rFonts w:eastAsia="Times New Roman" w:cstheme="minorHAnsi"/>
          <w:sz w:val="20"/>
          <w:szCs w:val="20"/>
          <w:lang w:eastAsia="it-IT"/>
        </w:rPr>
        <w:t xml:space="preserve"> </w:t>
      </w:r>
    </w:p>
    <w:p w14:paraId="4B7376CD" w14:textId="5160F775" w:rsidR="00DE4C62" w:rsidRPr="005A22F8" w:rsidRDefault="00DE4C62" w:rsidP="005A22F8">
      <w:pPr>
        <w:shd w:val="clear" w:color="auto" w:fill="FFFFFF"/>
        <w:spacing w:before="220" w:after="0" w:line="276" w:lineRule="auto"/>
        <w:jc w:val="both"/>
        <w:rPr>
          <w:rFonts w:eastAsia="Times New Roman" w:cstheme="minorHAnsi"/>
          <w:sz w:val="20"/>
          <w:szCs w:val="20"/>
          <w:u w:val="single"/>
          <w:lang w:eastAsia="it-IT"/>
        </w:rPr>
      </w:pPr>
      <w:r w:rsidRPr="005A22F8">
        <w:rPr>
          <w:rFonts w:eastAsia="Times New Roman" w:cstheme="minorHAnsi"/>
          <w:sz w:val="20"/>
          <w:szCs w:val="20"/>
          <w:lang w:eastAsia="it-IT"/>
        </w:rPr>
        <w:t>F</w:t>
      </w:r>
      <w:r w:rsidR="004A0A7F" w:rsidRPr="005A22F8">
        <w:rPr>
          <w:rFonts w:eastAsia="Times New Roman" w:cstheme="minorHAnsi"/>
          <w:sz w:val="20"/>
          <w:szCs w:val="20"/>
          <w:lang w:eastAsia="it-IT"/>
        </w:rPr>
        <w:t>anno parte dello Spazio Economico Europeo:</w:t>
      </w:r>
      <w:r w:rsidR="00E707AE" w:rsidRPr="005A22F8">
        <w:rPr>
          <w:rFonts w:cstheme="minorHAnsi"/>
          <w:sz w:val="20"/>
          <w:szCs w:val="20"/>
          <w:shd w:val="clear" w:color="auto" w:fill="FFFFFF"/>
        </w:rPr>
        <w:t xml:space="preserve"> Austria, Belgio, Bulgaria, Caraibi Francesi, Cipro, Croazia, Danimarca, Estonia, Finlandia, Francia, Germania, Gibilterra, Gran Bretagna, Grecia, Guernsey, Guyana francese, Irlanda, Islanda, Jersey, Lettonia, Liechtenstein, Lituania, Lussemburgo, Malta, Norvegia, Olanda, Polonia, Portogallo, Repubblica Ceca, Repubblica Slovacca, </w:t>
      </w:r>
      <w:proofErr w:type="spellStart"/>
      <w:r w:rsidR="00E707AE" w:rsidRPr="005A22F8">
        <w:rPr>
          <w:rFonts w:cstheme="minorHAnsi"/>
          <w:sz w:val="20"/>
          <w:szCs w:val="20"/>
          <w:shd w:val="clear" w:color="auto" w:fill="FFFFFF"/>
        </w:rPr>
        <w:t>Reunion</w:t>
      </w:r>
      <w:proofErr w:type="spellEnd"/>
      <w:r w:rsidR="00E707AE" w:rsidRPr="005A22F8">
        <w:rPr>
          <w:rFonts w:cstheme="minorHAnsi"/>
          <w:sz w:val="20"/>
          <w:szCs w:val="20"/>
          <w:shd w:val="clear" w:color="auto" w:fill="FFFFFF"/>
        </w:rPr>
        <w:t>, Romania, Slovenia, Spagna, Svezia, Ungheria Inclusa Svizzera e Regno Unito.</w:t>
      </w:r>
    </w:p>
    <w:p w14:paraId="5CB384E3" w14:textId="77777777" w:rsidR="004A0A7F" w:rsidRPr="005A22F8" w:rsidRDefault="004A0A7F" w:rsidP="005A22F8">
      <w:pPr>
        <w:shd w:val="clear" w:color="auto" w:fill="FFFFFF"/>
        <w:spacing w:after="0" w:line="276" w:lineRule="auto"/>
        <w:jc w:val="both"/>
        <w:rPr>
          <w:rFonts w:eastAsia="Times New Roman" w:cstheme="minorHAnsi"/>
          <w:sz w:val="20"/>
          <w:szCs w:val="20"/>
          <w:lang w:eastAsia="it-IT"/>
        </w:rPr>
      </w:pPr>
      <w:r w:rsidRPr="005A22F8">
        <w:rPr>
          <w:rFonts w:eastAsia="Times New Roman" w:cstheme="minorHAnsi"/>
          <w:sz w:val="20"/>
          <w:szCs w:val="20"/>
          <w:lang w:eastAsia="it-IT"/>
        </w:rPr>
        <w:t> </w:t>
      </w:r>
    </w:p>
    <w:p w14:paraId="7A633F91" w14:textId="77777777" w:rsidR="00442229" w:rsidRPr="00A1641D" w:rsidRDefault="00442229" w:rsidP="00442229">
      <w:pPr>
        <w:pStyle w:val="Paragrafoelenco"/>
        <w:numPr>
          <w:ilvl w:val="0"/>
          <w:numId w:val="3"/>
        </w:numPr>
        <w:shd w:val="clear" w:color="auto" w:fill="FFFFFF"/>
        <w:spacing w:before="220" w:after="0" w:line="276" w:lineRule="auto"/>
        <w:jc w:val="both"/>
        <w:rPr>
          <w:rFonts w:cstheme="minorHAnsi"/>
          <w:sz w:val="20"/>
          <w:szCs w:val="20"/>
        </w:rPr>
      </w:pPr>
      <w:r w:rsidRPr="00A1641D">
        <w:rPr>
          <w:rFonts w:cstheme="minorHAnsi"/>
          <w:b/>
          <w:i/>
          <w:sz w:val="20"/>
          <w:szCs w:val="20"/>
          <w:u w:val="single"/>
        </w:rPr>
        <w:t xml:space="preserve">UTILIZZO PRIVATO DELLA LINEA: </w:t>
      </w:r>
      <w:r w:rsidRPr="00A1641D">
        <w:rPr>
          <w:rFonts w:cstheme="minorHAnsi"/>
          <w:sz w:val="20"/>
          <w:szCs w:val="20"/>
        </w:rPr>
        <w:t xml:space="preserve"> </w:t>
      </w:r>
    </w:p>
    <w:p w14:paraId="4C8A9749" w14:textId="77777777" w:rsidR="00442229" w:rsidRPr="00A1641D" w:rsidRDefault="00442229" w:rsidP="00442229">
      <w:pPr>
        <w:pStyle w:val="Paragrafoelenco"/>
        <w:shd w:val="clear" w:color="auto" w:fill="FFFFFF"/>
        <w:spacing w:before="220" w:line="276" w:lineRule="auto"/>
        <w:jc w:val="both"/>
        <w:rPr>
          <w:rFonts w:cstheme="minorHAnsi"/>
          <w:sz w:val="20"/>
          <w:szCs w:val="20"/>
        </w:rPr>
      </w:pPr>
    </w:p>
    <w:p w14:paraId="7BDA9DDD" w14:textId="77777777" w:rsidR="00442229" w:rsidRPr="00A1641D" w:rsidRDefault="00442229" w:rsidP="00442229">
      <w:pPr>
        <w:pStyle w:val="Paragrafoelenco"/>
        <w:shd w:val="clear" w:color="auto" w:fill="FFFFFF"/>
        <w:spacing w:before="220" w:line="276" w:lineRule="auto"/>
        <w:jc w:val="both"/>
        <w:rPr>
          <w:rFonts w:cstheme="minorHAnsi"/>
          <w:sz w:val="20"/>
          <w:szCs w:val="20"/>
        </w:rPr>
      </w:pPr>
      <w:r w:rsidRPr="00A1641D">
        <w:rPr>
          <w:rFonts w:cstheme="minorHAnsi"/>
          <w:sz w:val="20"/>
          <w:szCs w:val="20"/>
        </w:rPr>
        <w:t>In deroga al punto 1 delle linee guida (che limita l’utilizzo esclusivamente per motivi di servizio), la</w:t>
      </w:r>
    </w:p>
    <w:p w14:paraId="0CE71908" w14:textId="77777777" w:rsidR="00442229" w:rsidRPr="00A1641D" w:rsidRDefault="00442229" w:rsidP="00442229">
      <w:pPr>
        <w:pStyle w:val="Paragrafoelenco"/>
        <w:shd w:val="clear" w:color="auto" w:fill="FFFFFF"/>
        <w:spacing w:before="220" w:line="276" w:lineRule="auto"/>
        <w:ind w:left="0"/>
        <w:jc w:val="both"/>
        <w:rPr>
          <w:rFonts w:cstheme="minorHAnsi"/>
          <w:sz w:val="20"/>
          <w:szCs w:val="20"/>
        </w:rPr>
      </w:pPr>
      <w:r w:rsidRPr="00A1641D">
        <w:rPr>
          <w:rFonts w:cstheme="minorHAnsi"/>
          <w:sz w:val="20"/>
          <w:szCs w:val="20"/>
        </w:rPr>
        <w:t>Fondazione autorizza l’utilizzo privato delle linee di telefonia mobile. Tale utilizzo deve comunque essere moderato e ragionevole, non deve ostacolare l'utilizzo professionale, non deve apportare costi di traffico extra "FLAT" e, in considerazione degli elevati costi di gestione, non è consentito nei paesi extra UE. Per la regolarizzazione del servizio e tenuto conto dell’impossibilità di qualsiasi controllo da parte della Fondazione sul traffico telefonico ai sensi dell’art. 4 dello Statuto dei Lavoratori, una quota forfettaria (pari a € 12,00) del costo del servizio di telefonia mobile viene addebitata annualmente all’assegnatario in busta paga.</w:t>
      </w:r>
    </w:p>
    <w:p w14:paraId="0C59A6EB" w14:textId="77777777" w:rsidR="00204651" w:rsidRDefault="00204651" w:rsidP="005A22F8">
      <w:pPr>
        <w:shd w:val="clear" w:color="auto" w:fill="FFFFFF"/>
        <w:spacing w:after="0" w:line="276" w:lineRule="auto"/>
        <w:rPr>
          <w:rFonts w:eastAsia="Times New Roman" w:cstheme="minorHAnsi"/>
          <w:sz w:val="20"/>
          <w:szCs w:val="20"/>
          <w:lang w:eastAsia="it-IT"/>
        </w:rPr>
      </w:pPr>
    </w:p>
    <w:p w14:paraId="53BE7474" w14:textId="77777777" w:rsidR="00204651" w:rsidRDefault="00204651" w:rsidP="005A22F8">
      <w:pPr>
        <w:shd w:val="clear" w:color="auto" w:fill="FFFFFF"/>
        <w:spacing w:after="0" w:line="276" w:lineRule="auto"/>
        <w:rPr>
          <w:rFonts w:eastAsia="Times New Roman" w:cstheme="minorHAnsi"/>
          <w:sz w:val="20"/>
          <w:szCs w:val="20"/>
          <w:lang w:eastAsia="it-IT"/>
        </w:rPr>
      </w:pPr>
    </w:p>
    <w:p w14:paraId="38EEEC34" w14:textId="77777777" w:rsidR="00204651" w:rsidRPr="005A22F8" w:rsidRDefault="00204651" w:rsidP="005A22F8">
      <w:pPr>
        <w:shd w:val="clear" w:color="auto" w:fill="FFFFFF"/>
        <w:spacing w:after="0" w:line="276" w:lineRule="auto"/>
        <w:rPr>
          <w:rFonts w:eastAsia="Times New Roman" w:cstheme="minorHAnsi"/>
          <w:sz w:val="20"/>
          <w:szCs w:val="20"/>
          <w:lang w:eastAsia="it-IT"/>
        </w:rPr>
      </w:pPr>
    </w:p>
    <w:p w14:paraId="422F1DCE" w14:textId="77777777" w:rsidR="00DE4C62" w:rsidRPr="005A22F8" w:rsidRDefault="00DE4C62" w:rsidP="005A22F8">
      <w:pPr>
        <w:spacing w:line="276" w:lineRule="auto"/>
        <w:rPr>
          <w:rFonts w:cstheme="minorHAnsi"/>
          <w:sz w:val="20"/>
          <w:szCs w:val="20"/>
        </w:rPr>
      </w:pPr>
    </w:p>
    <w:sectPr w:rsidR="00DE4C62" w:rsidRPr="005A22F8" w:rsidSect="00DE4C62">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5D28"/>
    <w:multiLevelType w:val="hybridMultilevel"/>
    <w:tmpl w:val="AEC43858"/>
    <w:lvl w:ilvl="0" w:tplc="42787BFA">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E51829"/>
    <w:multiLevelType w:val="hybridMultilevel"/>
    <w:tmpl w:val="6D6678AC"/>
    <w:lvl w:ilvl="0" w:tplc="A146738E">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A208CF"/>
    <w:multiLevelType w:val="multilevel"/>
    <w:tmpl w:val="358A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07BC7"/>
    <w:multiLevelType w:val="hybridMultilevel"/>
    <w:tmpl w:val="07080970"/>
    <w:lvl w:ilvl="0" w:tplc="80BE91C0">
      <w:numFmt w:val="bullet"/>
      <w:lvlText w:val=""/>
      <w:lvlJc w:val="left"/>
      <w:pPr>
        <w:ind w:left="720" w:hanging="360"/>
      </w:pPr>
      <w:rPr>
        <w:rFonts w:ascii="Symbol" w:eastAsia="Times New Roman" w:hAnsi="Symbol" w:cs="Arial" w:hint="default"/>
        <w:b/>
        <w:i/>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9004627">
    <w:abstractNumId w:val="2"/>
  </w:num>
  <w:num w:numId="2" w16cid:durableId="66270134">
    <w:abstractNumId w:val="0"/>
  </w:num>
  <w:num w:numId="3" w16cid:durableId="441537885">
    <w:abstractNumId w:val="1"/>
  </w:num>
  <w:num w:numId="4" w16cid:durableId="715355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87"/>
    <w:rsid w:val="000B6C19"/>
    <w:rsid w:val="000D2F29"/>
    <w:rsid w:val="001E0E50"/>
    <w:rsid w:val="00202DC0"/>
    <w:rsid w:val="00204651"/>
    <w:rsid w:val="0021061B"/>
    <w:rsid w:val="002D77EA"/>
    <w:rsid w:val="003D5EE9"/>
    <w:rsid w:val="003F269C"/>
    <w:rsid w:val="00430522"/>
    <w:rsid w:val="00442229"/>
    <w:rsid w:val="004864DE"/>
    <w:rsid w:val="004A0A7F"/>
    <w:rsid w:val="004F0403"/>
    <w:rsid w:val="00517D10"/>
    <w:rsid w:val="00532E4C"/>
    <w:rsid w:val="005663DB"/>
    <w:rsid w:val="005773C6"/>
    <w:rsid w:val="005A22F8"/>
    <w:rsid w:val="005C41F8"/>
    <w:rsid w:val="005F6AFE"/>
    <w:rsid w:val="00714199"/>
    <w:rsid w:val="007F33D8"/>
    <w:rsid w:val="00836D68"/>
    <w:rsid w:val="00874FB0"/>
    <w:rsid w:val="0091217C"/>
    <w:rsid w:val="009F32BA"/>
    <w:rsid w:val="00A00508"/>
    <w:rsid w:val="00A51B0D"/>
    <w:rsid w:val="00A53528"/>
    <w:rsid w:val="00A97E5B"/>
    <w:rsid w:val="00D64826"/>
    <w:rsid w:val="00DE4C62"/>
    <w:rsid w:val="00E118D5"/>
    <w:rsid w:val="00E707AE"/>
    <w:rsid w:val="00ED2EB7"/>
    <w:rsid w:val="00F87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DDEA"/>
  <w15:chartTrackingRefBased/>
  <w15:docId w15:val="{D066B6E9-64D4-42BD-88B7-ED5C017E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C62"/>
  </w:style>
  <w:style w:type="paragraph" w:styleId="Titolo1">
    <w:name w:val="heading 1"/>
    <w:basedOn w:val="Normale"/>
    <w:link w:val="Titolo1Carattere"/>
    <w:uiPriority w:val="9"/>
    <w:qFormat/>
    <w:rsid w:val="004A0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0A7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A0A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A0A7F"/>
    <w:rPr>
      <w:color w:val="0000FF"/>
      <w:u w:val="single"/>
    </w:rPr>
  </w:style>
  <w:style w:type="character" w:styleId="Menzionenonrisolta">
    <w:name w:val="Unresolved Mention"/>
    <w:basedOn w:val="Carpredefinitoparagrafo"/>
    <w:uiPriority w:val="99"/>
    <w:semiHidden/>
    <w:unhideWhenUsed/>
    <w:rsid w:val="004A0A7F"/>
    <w:rPr>
      <w:color w:val="605E5C"/>
      <w:shd w:val="clear" w:color="auto" w:fill="E1DFDD"/>
    </w:rPr>
  </w:style>
  <w:style w:type="paragraph" w:styleId="Paragrafoelenco">
    <w:name w:val="List Paragraph"/>
    <w:basedOn w:val="Normale"/>
    <w:uiPriority w:val="34"/>
    <w:qFormat/>
    <w:rsid w:val="004A0A7F"/>
    <w:pPr>
      <w:ind w:left="720"/>
      <w:contextualSpacing/>
    </w:pPr>
  </w:style>
  <w:style w:type="table" w:styleId="Grigliatabella">
    <w:name w:val="Table Grid"/>
    <w:basedOn w:val="Tabellanormale"/>
    <w:uiPriority w:val="39"/>
    <w:rsid w:val="004A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DE4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60861">
      <w:bodyDiv w:val="1"/>
      <w:marLeft w:val="0"/>
      <w:marRight w:val="0"/>
      <w:marTop w:val="0"/>
      <w:marBottom w:val="0"/>
      <w:divBdr>
        <w:top w:val="none" w:sz="0" w:space="0" w:color="auto"/>
        <w:left w:val="none" w:sz="0" w:space="0" w:color="auto"/>
        <w:bottom w:val="none" w:sz="0" w:space="0" w:color="auto"/>
        <w:right w:val="none" w:sz="0" w:space="0" w:color="auto"/>
      </w:divBdr>
    </w:div>
    <w:div w:id="304894991">
      <w:bodyDiv w:val="1"/>
      <w:marLeft w:val="0"/>
      <w:marRight w:val="0"/>
      <w:marTop w:val="0"/>
      <w:marBottom w:val="0"/>
      <w:divBdr>
        <w:top w:val="none" w:sz="0" w:space="0" w:color="auto"/>
        <w:left w:val="none" w:sz="0" w:space="0" w:color="auto"/>
        <w:bottom w:val="none" w:sz="0" w:space="0" w:color="auto"/>
        <w:right w:val="none" w:sz="0" w:space="0" w:color="auto"/>
      </w:divBdr>
    </w:div>
    <w:div w:id="498737565">
      <w:bodyDiv w:val="1"/>
      <w:marLeft w:val="0"/>
      <w:marRight w:val="0"/>
      <w:marTop w:val="0"/>
      <w:marBottom w:val="0"/>
      <w:divBdr>
        <w:top w:val="none" w:sz="0" w:space="0" w:color="auto"/>
        <w:left w:val="none" w:sz="0" w:space="0" w:color="auto"/>
        <w:bottom w:val="none" w:sz="0" w:space="0" w:color="auto"/>
        <w:right w:val="none" w:sz="0" w:space="0" w:color="auto"/>
      </w:divBdr>
    </w:div>
    <w:div w:id="620452823">
      <w:bodyDiv w:val="1"/>
      <w:marLeft w:val="0"/>
      <w:marRight w:val="0"/>
      <w:marTop w:val="0"/>
      <w:marBottom w:val="0"/>
      <w:divBdr>
        <w:top w:val="none" w:sz="0" w:space="0" w:color="auto"/>
        <w:left w:val="none" w:sz="0" w:space="0" w:color="auto"/>
        <w:bottom w:val="none" w:sz="0" w:space="0" w:color="auto"/>
        <w:right w:val="none" w:sz="0" w:space="0" w:color="auto"/>
      </w:divBdr>
    </w:div>
    <w:div w:id="1169901784">
      <w:bodyDiv w:val="1"/>
      <w:marLeft w:val="0"/>
      <w:marRight w:val="0"/>
      <w:marTop w:val="0"/>
      <w:marBottom w:val="0"/>
      <w:divBdr>
        <w:top w:val="none" w:sz="0" w:space="0" w:color="auto"/>
        <w:left w:val="none" w:sz="0" w:space="0" w:color="auto"/>
        <w:bottom w:val="none" w:sz="0" w:space="0" w:color="auto"/>
        <w:right w:val="none" w:sz="0" w:space="0" w:color="auto"/>
      </w:divBdr>
    </w:div>
    <w:div w:id="1440291963">
      <w:bodyDiv w:val="1"/>
      <w:marLeft w:val="0"/>
      <w:marRight w:val="0"/>
      <w:marTop w:val="0"/>
      <w:marBottom w:val="0"/>
      <w:divBdr>
        <w:top w:val="none" w:sz="0" w:space="0" w:color="auto"/>
        <w:left w:val="none" w:sz="0" w:space="0" w:color="auto"/>
        <w:bottom w:val="none" w:sz="0" w:space="0" w:color="auto"/>
        <w:right w:val="none" w:sz="0" w:space="0" w:color="auto"/>
      </w:divBdr>
    </w:div>
    <w:div w:id="1541818455">
      <w:bodyDiv w:val="1"/>
      <w:marLeft w:val="0"/>
      <w:marRight w:val="0"/>
      <w:marTop w:val="0"/>
      <w:marBottom w:val="0"/>
      <w:divBdr>
        <w:top w:val="none" w:sz="0" w:space="0" w:color="auto"/>
        <w:left w:val="none" w:sz="0" w:space="0" w:color="auto"/>
        <w:bottom w:val="none" w:sz="0" w:space="0" w:color="auto"/>
        <w:right w:val="none" w:sz="0" w:space="0" w:color="auto"/>
      </w:divBdr>
    </w:div>
    <w:div w:id="1713924691">
      <w:bodyDiv w:val="1"/>
      <w:marLeft w:val="0"/>
      <w:marRight w:val="0"/>
      <w:marTop w:val="0"/>
      <w:marBottom w:val="0"/>
      <w:divBdr>
        <w:top w:val="none" w:sz="0" w:space="0" w:color="auto"/>
        <w:left w:val="none" w:sz="0" w:space="0" w:color="auto"/>
        <w:bottom w:val="none" w:sz="0" w:space="0" w:color="auto"/>
        <w:right w:val="none" w:sz="0" w:space="0" w:color="auto"/>
      </w:divBdr>
    </w:div>
    <w:div w:id="17510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wto.fbk.eu"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trasparenza.fbk.eu/content/view/full/576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634</Words>
  <Characters>3618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Pallanch</dc:creator>
  <cp:keywords/>
  <dc:description/>
  <cp:lastModifiedBy>Melani Emiliyan Ilichova</cp:lastModifiedBy>
  <cp:revision>19</cp:revision>
  <dcterms:created xsi:type="dcterms:W3CDTF">2021-10-06T11:02:00Z</dcterms:created>
  <dcterms:modified xsi:type="dcterms:W3CDTF">2025-01-16T09:59:00Z</dcterms:modified>
</cp:coreProperties>
</file>